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FFGV 1993</w:t>
      </w:r>
    </w:p>
    <w:p>
      <w:r>
        <w:rPr>
          <w:color w:val="555555"/>
          <w:sz w:val="18"/>
        </w:rPr>
        <w:t xml:space="preserve">Verordnung zum Filmförderungsgesetz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Auszeichnungen (erste Preise), die einem Kurzfilm oder einem nicht programmfüllenden Kinder- oder Jugendfilm im Sinne des § 15 Abs. 2 oder des § 16 des Filmförderungsgesetzes auf einem in der Anlage 1 aufgeführten Filmfestspiel von der im Reglement vorgesehenen Hauptjury verliehen wurden, stehen dem von der Filmbewertungsstelle Wiesbaden erteilten Prädikat "besonders wertvoll" gleich. Dasselbe gilt für die in der Anlage 2 genannten Auszeichnungen (Preise und Prämien).</w:t>
      </w:r>
    </w:p>
    <w:p>
      <w:r>
        <w:t xml:space="preserve">(2) Absatz 1 ist nicht anzuwenden, wenn die Auszeichnung einem Film zusammen mit mehr als einem weiteren Film zuerkannt wird.</w:t>
      </w:r>
    </w:p>
    <w:p>
      <w:r>
        <w:rPr>
          <w:color w:val="555555"/>
          <w:sz w:val="17"/>
        </w:rPr>
        <w:t xml:space="preserve">Zitiervorschlag: § 1 FFGV 1993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https://recht.nulegal.eu/gesetze/FFGV%201993/1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