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FFG 2025 — Referenzpunkte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Referenzpunkte werden insbesondere aus dem Erfolg bei international und national bedeutsamen Festivals und Preisen ermittelt.</w:t>
      </w:r>
    </w:p>
    <w:p>
      <w:r>
        <w:t xml:space="preserve">(2) Bei der Berechnung der Referenzpunktzahl nach Absatz 1 werden nur solche Erfolge berücksichtigt, die innerhalb von zwei Jahren nach Fertigstellung des Films erreicht wurden.</w:t>
      </w:r>
    </w:p>
    <w:p>
      <w:r>
        <w:t xml:space="preserve">(3) Bei Filmen, die nach Maßgabe der Absätze 1 und 2 mindestens 40 Referenzpunkte erreicht haben, werden die Referenzpunkte mit dem Faktor 1,5 multipliziert.</w:t>
      </w:r>
    </w:p>
    <w:p>
      <w:r>
        <w:t xml:space="preserve">(4) Näheres regelt eine Richtlinie gemäß § 11. Dabei ist auch der Festivalpraxis bei Kinder- und Kurzfilmen angemessen Rechnung zu tragen. Die Filmförderungsanstalt kann in der Richtlinie nach Satz 1 auch weitere vergleichbare Erfolgskriterien für die Zuerkennung von Referenzpunkten festlegen.</w:t>
      </w:r>
    </w:p>
    <w:p>
      <w:r>
        <w:rPr>
          <w:color w:val="555555"/>
          <w:sz w:val="17"/>
        </w:rPr>
        <w:t xml:space="preserve">Zitiervorschlag: § 90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