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FFG 2025 — Bürgschaften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Auf Antrag des Herstellers gemäß § 41 Absatz 1 Nummer 1 kann die Filmförderungsanstalt Bürgschaften gegenüber beteiligten Fernsehveranstaltern sowie gegenüber vor- oder zwischenfinanzierenden Banken oder sonstigen Kreditinstituten übernehmen</w:t>
      </w:r>
    </w:p>
    <w:p>
      <w:pPr>
        <w:ind w:left="420"/>
      </w:pPr>
      <w:r>
        <w:t xml:space="preserve">1. zur Besicherung der vertraglich vereinbarten Rückzahlungsverpflichtung des Herstellers gegenüber einem Fernsehveranstalter wegen Nichtfertigstellung des Films,</w:t>
      </w:r>
    </w:p>
    <w:p>
      <w:pPr>
        <w:ind w:left="420"/>
      </w:pPr>
      <w:r>
        <w:t xml:space="preserve">2. zur Besicherung der vertraglich vereinbarten Rückzahlungsverpflichtung eines Darlehens des Herstellers gegenüber vor- oder zwischenfinanzierenden Banken oder sonstigen Kreditinstituten wegen Nichtfertigstellung des Films aufgrund ausstehender Zahlungen von Förderhilfen anderer mit öffentlichen Mitteln des Bundes finanzierter Einrichtungen im Inland.</w:t>
      </w:r>
    </w:p>
    <w:p>
      <w:r>
        <w:t xml:space="preserve">(2) Die Bürgschaftsübernahme setzt voraus, dass eine Beteiligungs- oder Finanzierungsvereinbarung zwischen dem Hersteller gemäß § 41 Absatz 1 Nummer 1 und dem jeweiligen Bürgschaftsempfänger sowie die Zusage von Förderhilfen, für die gebürgt werden soll, nachgewiesen werden.</w:t>
      </w:r>
    </w:p>
    <w:p>
      <w:r>
        <w:t xml:space="preserve">(3) Eine Bürgschaft darf nicht übernommen werden, wenn Anhaltspunkte dafür vorliegen, dass ein überdurchschnittlich hohes Risiko für die Inanspruchnahme der Filmförderungsanstalt aus der Bürgschaft gegeben ist.</w:t>
      </w:r>
    </w:p>
    <w:p>
      <w:r>
        <w:t xml:space="preserve">(4) Die Rückstellungen für die Bürgschaften sind im Wirtschaftsplan der Filmförderungsanstalt einzuplanen.</w:t>
      </w:r>
    </w:p>
    <w:p>
      <w:r>
        <w:t xml:space="preserve">(5) Näheres regelt eine Richtlinie gemäß § 11.</w:t>
      </w:r>
    </w:p>
    <w:p>
      <w:r>
        <w:rPr>
          <w:color w:val="555555"/>
          <w:sz w:val="17"/>
        </w:rPr>
        <w:t xml:space="preserve">Zitiervorschlag: § 85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