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FFG 2025 — Fernsehnutzungsrechte und weitere Vertragsbedingungen in Auswertungsverträgen mit Fernsehveranstaltern</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Hersteller gemäß § 41 Absatz 1 Nummer 1 des mit Referenzmitteln hergestellten Films muss nachweisen, dass in dem Auswertungsvertrag mit einem öffentlich-rechtlichen Fernsehveranstalter oder einem privaten Fernsehveranstalter ein Rückfall der Fernsehnutzungsrechte an ihn spätestens nach fünf Jahren vereinbart ist. Im Einzelfall kann im Auswertungsvertrag für den Rückfall der Fernsehnutzungsrechte eine Frist von bis zu sieben Jahren vereinbart werden, insbesondere, wenn der Hersteller für den Film eine überdurchschnittlich hohe Finanzierungsbeteiligung des öffentlich-rechtlichen Fernsehveranstalters oder des privaten Fernsehveranstalters erhalten hat.</w:t>
      </w:r>
    </w:p>
    <w:p>
      <w:r>
        <w:t xml:space="preserve">(2) Der Hersteller gemäß § 41 Absatz 1 Nummer 1 muss für den Film nachweisen, dass die Fernsehnutzungsrechte für das deutschsprachige Lizenzgebiet, sofern sie einem Verleih oder Vertrieb eingeräumt wurden, spätestens nach fünf Jahren an den Hersteller zurückfallen. Die Filmförderungsanstalt kann durch Richtlinie gemäß § 11 abweichende Bestimmungen von Satz 1 zulassen.</w:t>
      </w:r>
    </w:p>
    <w:p>
      <w:r>
        <w:t xml:space="preserve">(3) Der Hersteller gemäß § 41 Absatz 1 Nummer 1 muss für den Film nachweisen, dass in dem Auswertungsvertrag mit einem Fernsehveranstalter nicht zu Ungunsten des Herstellers von den Bedingungen der Zusammenarbeit, die zwischen Herstellern und Fernsehveranstaltern vereinbart worden sind, abgewichen wird; dies gilt insbesondere für eine angemessene Aufteilung der Rechte.</w:t>
      </w:r>
    </w:p>
    <w:p>
      <w:r>
        <w:rPr>
          <w:color w:val="555555"/>
          <w:sz w:val="17"/>
        </w:rPr>
        <w:t xml:space="preserve">Zitiervorschlag: § 84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