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FFG 2025 — Eigenanteil des Herstellers</w:t>
      </w:r>
    </w:p>
    <w:p>
      <w:r>
        <w:rPr>
          <w:color w:val="555555"/>
          <w:sz w:val="18"/>
        </w:rPr>
        <w:t xml:space="preserve">Filmförderungsgesetz</w:t>
      </w:r>
    </w:p>
    <w:p>
      <w:r>
        <w:rPr>
          <w:color w:val="555555"/>
          <w:sz w:val="18"/>
        </w:rPr>
        <w:t xml:space="preserve">Stand: 01.01.2025 (konsolidierte Textfassung, kein amtliches Inkrafttretensdatum)</w:t>
      </w:r>
    </w:p>
    <w:p>
      <w:r>
        <w:t xml:space="preserve">(1) Der Hersteller gemäß § 41 Absatz 1 Nummer 1 hat an den im Kostenplan für den mit Referenzmitteln herzustellenden Film angegebenen und von der Filmförderungsanstalt anerkannten Kosten einen Eigenanteil zu tragen, der dem Produktionsumfang, der Kapitalausstattung und der bisherigen Produktionstätigkeit des Herstellers angemessen ist. Der Eigenanteil muss mindestens 5 Prozent der anerkannten Kosten betragen. Bei internationalen Koproduktionen nach § 42 ist bei der Berechnung des Eigenanteils der Finanzierungsanteil des deutschen Herstellers zugrunde zu legen. Satz 3 gilt entsprechend für Filme, die unter Mitwirkung eines öffentlich-rechtlichen Fernsehveranstalters hergestellt werden.</w:t>
      </w:r>
    </w:p>
    <w:p>
      <w:r>
        <w:t xml:space="preserve">(2) Der Eigenanteil kann finanziert werden</w:t>
      </w:r>
    </w:p>
    <w:p>
      <w:pPr>
        <w:ind w:left="420"/>
      </w:pPr>
      <w:r>
        <w:t xml:space="preserve">1. durch Eigenmittel,</w:t>
      </w:r>
    </w:p>
    <w:p>
      <w:pPr>
        <w:ind w:left="420"/>
      </w:pPr>
      <w:r>
        <w:t xml:space="preserve">2. durch Fremdmittel, die dem Hersteller darlehensweise mit unbedingter Verpflichtung zur Rückzahlung überlassen worden sind, oder</w:t>
      </w:r>
    </w:p>
    <w:p>
      <w:pPr>
        <w:ind w:left="420"/>
      </w:pPr>
      <w:r>
        <w:t xml:space="preserve">3. durch Eigenleistungen des Herstellers.</w:t>
      </w:r>
    </w:p>
    <w:p>
      <w:r>
        <w:t xml:space="preserve">Die Filmförderungsanstalt kann durch Richtlinie gemäß § 11 bestimmen, dass der Eigenanteil zudem durch Gegenleistungen für Lizenzvoraberteilungen finanziert werden kann, die während der Herstellung des Films schriftlich oder in elektronischer Form zugesichert werden.</w:t>
      </w:r>
    </w:p>
    <w:p>
      <w:r>
        <w:t xml:space="preserve">(3) Eigenleistungen sind Leistungen, die der Hersteller als kreativer Produzent, als Herstellungsleitung, als regieführende Person, als Person in einer Hauptrolle oder als kameraführende Person zur Herstellung des Films erbringt. Bei Animationsfilmen können auch andere Leistungen anerkannt werden, wenn diese mit den in Satz 1 genannten Eigenleistungen vergleichbar sind. Als Eigenleistung gelten auch Rechte des Herstellers an eigenen Werken wie Romanen, Drehbüchern oder Filmmusiken, die er zur Herstellung des Films benutzt.</w:t>
      </w:r>
    </w:p>
    <w:p>
      <w:r>
        <w:t xml:space="preserve">(4) Der Eigenanteil kann nicht finanziert werden</w:t>
      </w:r>
    </w:p>
    <w:p>
      <w:pPr>
        <w:ind w:left="420"/>
      </w:pPr>
      <w:r>
        <w:t xml:space="preserve">1. durch Förderhilfen nach diesem Gesetz,</w:t>
      </w:r>
    </w:p>
    <w:p>
      <w:pPr>
        <w:ind w:left="420"/>
      </w:pPr>
      <w:r>
        <w:t xml:space="preserve">2. durch Förderhilfen aufgrund anderer öffentlicher Förderprogramme sowie</w:t>
      </w:r>
    </w:p>
    <w:p>
      <w:pPr>
        <w:ind w:left="420"/>
      </w:pPr>
      <w:r>
        <w:t xml:space="preserve">3. durch sonstige Mittel, die von einer juristischen Person des öffentlichen Rechts oder einer juristischen Person des privaten Rechts, an der eine oder mehrere juristische Personen des öffentlichen Rechts direkt oder indirekt beteiligt sind, gewährt werden. Dies gilt nicht, wenn diese Mittel marktübliches Entgelt für eine vom Hersteller erbrachte Leistung sind oder als Fremdmittel gemäß Absatz 2 gewährt werden.</w:t>
      </w:r>
    </w:p>
    <w:p>
      <w:r>
        <w:t xml:space="preserve">(5) Die Filmförderungsanstalt kann im Einvernehmen mit der für Kultur und Medien zuständigen obersten Bundesbehörde zum Zweck der Harmonisierung der Filmförderung des Bundes und der Länder durch Richtlinie gemäß § 11 abweichende Anforderungen an den Eigenanteil des Herstellers festlegen.</w:t>
      </w:r>
    </w:p>
    <w:p>
      <w:r>
        <w:rPr>
          <w:color w:val="555555"/>
          <w:sz w:val="17"/>
        </w:rPr>
        <w:t xml:space="preserve">Zitiervorschlag: § 77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