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FFG 2025 — Verwendungsmöglichkeiten für drehbuchschreibende und regieführende Personen</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drehbuchschreibende oder die regieführende Person kann die zuerkannten Förderhilfen innerhalb von drei Jahren nach Erlass des jeweiligen Zuerkennungsbescheids verwenden</w:t>
      </w:r>
    </w:p>
    <w:p>
      <w:pPr>
        <w:ind w:left="420"/>
      </w:pPr>
      <w:r>
        <w:t xml:space="preserve">1. für die Herstellung eines Drehbuchs,</w:t>
      </w:r>
    </w:p>
    <w:p>
      <w:pPr>
        <w:ind w:left="420"/>
      </w:pPr>
      <w:r>
        <w:t xml:space="preserve">2. für die Herstellung eines Konzepts, das die Geschichte eines Films umfassend und dramaturgisch schlüssig beschreibt (Treatment),</w:t>
      </w:r>
    </w:p>
    <w:p>
      <w:pPr>
        <w:ind w:left="420"/>
      </w:pPr>
      <w:r>
        <w:t xml:space="preserve">3. für eine mit einem Treatment nach Nummer 2 vergleichbare Darstellung oder eine erste Drehbuchfassung eines Films oder</w:t>
      </w:r>
    </w:p>
    <w:p>
      <w:pPr>
        <w:ind w:left="420"/>
      </w:pPr>
      <w:r>
        <w:t xml:space="preserve">4. für die Entwicklung einer produktionsreifen und projektgerechten Beschreibung eines Films oder entsprechender Vorbereitungshandlungen.</w:t>
      </w:r>
    </w:p>
    <w:p>
      <w:r>
        <w:t xml:space="preserve">(2) Die Inanspruchnahme der Förderhilfe verpflichtet die drehbuchschreibende oder die regieführende Person dazu, die in Absatz 1 genannten Werke im Falle der Verfilmung nur zur Herstellung eines programmfüllenden Films, der die jeweils geltenden Voraussetzungen der §§ 41 bis 47 erfüllt, zu verwenden.</w:t>
      </w:r>
    </w:p>
    <w:p>
      <w:r>
        <w:t xml:space="preserve">(3) Drehbücher, Treatments, vergleichbare Darstellungen, erste Drehbuchfassungen sowie Beschreibungen müssen in deutscher Sprache verfasst werden. Hiervon ausgenommen sind Dialogstellen, für die aus dramaturgischen Gründen eine andere Sprache vorgesehen ist. Die Filmförderungsanstalt kann Ausnahmen von den Voraussetzungen in den Sätzen 1 und 2 zulassen, wenn die Gesamtwürdigung des jeweiligen Vorhabens dies rechtfertigt.</w:t>
      </w:r>
    </w:p>
    <w:p>
      <w:r>
        <w:t xml:space="preserve">(4) Die Filmförderungsanstalt kann festlegen, dass eine Aufteilung der Referenzmittel auf mehrere Projekte nur möglich ist, wenn für jedes Projekt eine bestimmte Mindestfördersumme erreicht ist.</w:t>
      </w:r>
    </w:p>
    <w:p>
      <w:r>
        <w:rPr>
          <w:color w:val="555555"/>
          <w:sz w:val="17"/>
        </w:rPr>
        <w:t xml:space="preserve">Zitiervorschlag: § 76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