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FFG 2025 — Antragsvoraussetzungen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Mit Antragstellung ist nachzuweisen, dass der Referenzfilm die jeweils geltenden Voraussetzungen der §§ 41 bis 45 erfüllt.</w:t>
      </w:r>
    </w:p>
    <w:p>
      <w:r>
        <w:t xml:space="preserve">(2) Näheres regelt eine Richtlinie gemäß § 11.</w:t>
      </w:r>
    </w:p>
    <w:p>
      <w:r>
        <w:rPr>
          <w:color w:val="555555"/>
          <w:sz w:val="17"/>
        </w:rPr>
        <w:t xml:space="preserve">Zitiervorschlag: § 71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