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FFG 2025 — Berufung, Amtszeit, Unabhängigkeit</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für Kultur und Medien zuständige oberste Bundesbehörde beruft die Mitglieder des Verwaltungsrats und die stellvertretenden Mitglieder.</w:t>
      </w:r>
    </w:p>
    <w:p>
      <w:r>
        <w:t xml:space="preserve">(2) Die Amtszeit der Mitglieder und der stellvertretenden Mitglieder beginnt mit der konstituierenden Sitzung des Verwaltungsrats nach Inkrafttreten dieses Gesetzes und endet mit Ablauf des 31. Dezember 2029. Die für Kultur und Medien zuständige oberste Bundesbehörde beruft die Nachfolge eines ausgeschiedenen Mitglieds oder stellvertretenden Mitglieds des Verwaltungsrats für den Rest der Amtszeit.</w:t>
      </w:r>
    </w:p>
    <w:p>
      <w:r>
        <w:t xml:space="preserve">(3) Die Mitglieder und stellvertretenden Mitglieder des Verwaltungsrats sind unabhängig und an Weisungen nicht gebunden.</w:t>
      </w:r>
    </w:p>
    <w:p>
      <w:r>
        <w:rPr>
          <w:color w:val="555555"/>
          <w:sz w:val="17"/>
        </w:rPr>
        <w:t xml:space="preserve">Zitiervorschlag: § 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