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 FFG 2025 — Art und Höhe der Förderung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Produktionsförderung für programmfüllende Filme wird als Zuschuss gewährt.</w:t>
      </w:r>
    </w:p>
    <w:p>
      <w:r>
        <w:t xml:space="preserve">(2) Die Höchstfördersumme pro Referenzfilm beträgt 2 Millionen Euro.</w:t>
      </w:r>
    </w:p>
    <w:p>
      <w:r>
        <w:t xml:space="preserve">(3) Die Filmförderungsanstalt kann durch Richtlinie gemäß § 11 von der in Absatz 2 geregelten Höchstfördersumme abweichen, wenn dem zwei Drittel der Mitglieder des Verwaltungsrats zustimmen.</w:t>
      </w:r>
    </w:p>
    <w:p>
      <w:r>
        <w:rPr>
          <w:color w:val="555555"/>
          <w:sz w:val="17"/>
        </w:rPr>
        <w:t xml:space="preserve">Zitiervorschlag: § 67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