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60 FFG 2025 — Ermächtigung des Verwaltungsrats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Von den §§ 54 bis 56 kann durch Richtlinie gemäß § 11 abgewichen werden. Abweichend von § 11 Absatz 2 beschließt der Verwaltungsrat Richtlinien nach Satz 1 mit der Zustimmung der Mitglieder der Kinoverbände und insgesamt mit einer Mehrheit von drei Vierteln der Stimmen, mindestens aber mit der Mehrheit seiner Mitglieder. Im Falle abweichender Regelungen nach Satz 1 gilt für Entscheidungen über Sperrfristenverkürzungen § 24 entsprechend.</w:t>
      </w:r>
    </w:p>
    <w:p>
      <w:r>
        <w:t xml:space="preserve">(2) Näheres zu den Bestimmungen des § 55 Absatz 3 und der §§ 56, 57 und 59 kann die Filmförderungsanstalt durch Richtlinie gemäß § 11 bestimmen.</w:t>
      </w:r>
    </w:p>
    <w:p>
      <w:r>
        <w:rPr>
          <w:color w:val="555555"/>
          <w:sz w:val="17"/>
        </w:rPr>
        <w:t xml:space="preserve">Zitiervorschlag: § 60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https://recht.nulegal.eu/gesetze/FFG%202025/60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