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FFG 2025 — Nichtanwendung der Sperrfristenregelungen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§ 54 findet auf Antrag des Herstellers gemäß § 41 Absatz 1 Nummer 1 keine Anwendung, wenn</w:t>
      </w:r>
    </w:p>
    <w:p>
      <w:pPr>
        <w:ind w:left="420"/>
      </w:pPr>
      <w:r>
        <w:t xml:space="preserve">1. sich nach Fertigstellung des Films herausstellt, dass die Kinoauswertung keinen hinreichenden Erfolg verspricht, und</w:t>
      </w:r>
    </w:p>
    <w:p>
      <w:pPr>
        <w:ind w:left="420"/>
      </w:pPr>
      <w:r>
        <w:t xml:space="preserve">2. der Hersteller gemäß § 41 Absatz 1 Nummer 1 gemeinsam mit dem Inhaber der Vorführungsrechte für das Inland gegenüber der Filmförderungsanstalt erklärt, dass keine Kinoauswertung des Films erfolgen soll.</w:t>
      </w:r>
    </w:p>
    <w:p>
      <w:r>
        <w:t xml:space="preserve">(2) Der Antrag ist vor dem Beginn der Auswertung zu stellen.</w:t>
      </w:r>
    </w:p>
    <w:p>
      <w:r>
        <w:t xml:space="preserve">(3) Der Antrag ist unzulässig, wenn der Hersteller gemäß § 41 Absatz 1 Nummer 1 als natürliche oder juristische Person oder eine mit dieser gesellschaftsrechtlich verbundene juristische Person innerhalb der letzten zwei Jahre vor Antragstellung einen entsprechenden Antrag für einen anderen Film gestellt hat.</w:t>
      </w:r>
    </w:p>
    <w:p>
      <w:r>
        <w:rPr>
          <w:color w:val="555555"/>
          <w:sz w:val="17"/>
        </w:rPr>
        <w:t xml:space="preserve">Zitiervorschlag: § 58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