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FFG 2025 — Abtretung und Verpfändung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Ansprüche auf Gewährung oder Auszahlung von Fördermitteln sind zum Zweck der Zwischenfinanzierung der jeweils geförderten Maßnahme an Banken oder sonstige Kreditinstitute abtretbar oder verpfändbar.</w:t>
      </w:r>
    </w:p>
    <w:p>
      <w:r>
        <w:t xml:space="preserve">(2) Darüber hinaus ist die Übertragung von Ansprüchen auf Förderung nur zulässig, wenn ein berechtigter Grund für die Übertragung vorliegt und der Förderzweck der Maßnahme hierdurch nicht gefährdet wird.</w:t>
      </w:r>
    </w:p>
    <w:p>
      <w:r>
        <w:rPr>
          <w:color w:val="555555"/>
          <w:sz w:val="17"/>
        </w:rPr>
        <w:t xml:space="preserve">Zitiervorschlag: § 53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