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FFG 2025 — Archivierung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Hersteller gemäß § 41 Absatz 1 Nummer 1 oder der Verleiher eines nach diesem Gesetz geförderten Films oder eines Referenzfilms ist verpflichtet, der Bundesrepublik Deutschland eine technisch einwandfreie analoge oder unkomprimierte digitale Kopie des Films in einem archivfähigen Format unentgeltlich zu übereignen, sofern diese Verpflichtung nicht schon anderweitig begründet oder erfüllt ist. Soweit der Hersteller gemäß § 41 Absatz 1 Nummer 1 oder der Verleiher nach Maßgabe dieses Gesetzes zur Herstellung einer barrierefreien Fassung des Films verpflichtet ist, gilt Satz 1 auch für die barrierefreie Fassung. Näheres regeln die Bestimmungen des Bundesarchivs.</w:t>
      </w:r>
    </w:p>
    <w:p>
      <w:r>
        <w:t xml:space="preserve">(2) Die Kopien werden vom Bundesarchiv für Zwecke der Filmförderung im Sinne dieses Gesetzes verwahrt. Sie können für filmwissenschaftliche und filmbildnerische Zwecke zur Verfügung gestellt werden.</w:t>
      </w:r>
    </w:p>
    <w:p>
      <w:r>
        <w:rPr>
          <w:color w:val="555555"/>
          <w:sz w:val="17"/>
        </w:rPr>
        <w:t xml:space="preserve">Zitiervorschlag: § 49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