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FFG 2025 — Ausschluss von der Förderung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Förderhilfen dürfen nicht gewährt werden, sofern die antragstellende Person von der Förderung ausgeschlossen ist.</w:t>
      </w:r>
    </w:p>
    <w:p>
      <w:r>
        <w:t xml:space="preserve">(2) Folgende natürliche oder juristische Personen können für bis zu fünf Jahre von der Förderung ausgeschlossen werden:</w:t>
      </w:r>
    </w:p>
    <w:p>
      <w:pPr>
        <w:ind w:left="420"/>
      </w:pPr>
      <w:r>
        <w:t xml:space="preserve">1. Personen, die bei einer Förderung nach diesem Gesetz die Grundsätze sparsamer Wirtschaftsführung verletzt haben,</w:t>
      </w:r>
    </w:p>
    <w:p>
      <w:pPr>
        <w:ind w:left="420"/>
      </w:pPr>
      <w:r>
        <w:t xml:space="preserve">2. Personen, die bei einer Förderung nach diesem Gesetz vorsätzlich oder grob fahrlässig unrichtige Angaben über wesentliche Förder- oder Auszahlungsvoraussetzungen gemacht haben, und</w:t>
      </w:r>
    </w:p>
    <w:p>
      <w:pPr>
        <w:ind w:left="420"/>
      </w:pPr>
      <w:r>
        <w:t xml:space="preserve">3. Personen, die bei der Erteilung von Auskünften nach § 144 vorsätzlich oder grob fahrlässig unrichtige Angaben über für die Höhe der Filmabgabe relevante Informationen gemacht haben.</w:t>
      </w:r>
    </w:p>
    <w:p>
      <w:r>
        <w:t xml:space="preserve">Gleiches gilt für eine juristische Person, die mit einer juristischen Person nach Satz 1 gesellschaftsrechtlich verbunden ist.</w:t>
      </w:r>
    </w:p>
    <w:p>
      <w:r>
        <w:t xml:space="preserve">(3) Von der Förderung ausgeschlossen sind juristische Personen, die einer Rückforderungsanordnung aufgrund eines früheren Beschlusses der Europäischen Kommission zur Feststellung der Unzulässigkeit einer Beihilfe und ihrer Unvereinbarkeit mit dem Binnenmarkt nicht nachgekommen sind.</w:t>
      </w:r>
    </w:p>
    <w:p>
      <w:r>
        <w:rPr>
          <w:color w:val="555555"/>
          <w:sz w:val="17"/>
        </w:rPr>
        <w:t xml:space="preserve">Zitiervorschlag: § 48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