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FFG 2025 — Förderfähigkeit internationaler Kofinanzierungen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Filme, die mit mindestens einem Hersteller mit Wohnsitz oder Sitz außerhalb des Geltungsbereiches dieses Gesetzes hergestellt werden oder worden sind und zu deren Herstellung der Hersteller gemäß § 41 Absatz 1 Nummer 1 nur einen finanziellen Beitrag geleistet hat (internationale Kofinanzierung), sind von der Produktions- und Verleihförderung der Kapitel 2 und 3 dieses Teils ausgeschlossen.</w:t>
      </w:r>
    </w:p>
    <w:p>
      <w:r>
        <w:t xml:space="preserve">(2) Förderhilfen nach Maßgabe anderer Vorschriften dieses Gesetzes können für die Herstellung von internationalen Kofinanzierungen nur gewährt werden, wenn</w:t>
      </w:r>
    </w:p>
    <w:p>
      <w:pPr>
        <w:ind w:left="420"/>
      </w:pPr>
      <w:r>
        <w:t xml:space="preserve">1. die Voraussetzungen des § 41 Absatz 1 Nummer 1 und 2 und des § 42 Absatz 1 in Verbindung mit Absatz 3 erfüllt sind,</w:t>
      </w:r>
    </w:p>
    <w:p>
      <w:pPr>
        <w:ind w:left="420"/>
      </w:pPr>
      <w:r>
        <w:t xml:space="preserve">2. ein auf den jeweiligen Film anwendbares, die Bundesrepublik Deutschland bindendes zwei- oder mehrseitiges zwischenstaatliches Abkommen eine solche Beteiligung vorsieht und soweit und solange die Gegenseitigkeit mit den Staaten, in denen die anderen Beteiligten ihren Wohnsitz oder Sitz haben, verbürgt ist und</w:t>
      </w:r>
    </w:p>
    <w:p>
      <w:pPr>
        <w:ind w:left="420"/>
      </w:pPr>
      <w:r>
        <w:t xml:space="preserve">3. der Beitrag des Herstellers gemäß § 41 Absatz 1 Nummer 1 dem in dem jeweiligen Abkommen nach Nummer 2 festgelegten Mindestanteil entspricht.</w:t>
      </w:r>
    </w:p>
    <w:p>
      <w:r>
        <w:rPr>
          <w:color w:val="555555"/>
          <w:sz w:val="17"/>
        </w:rPr>
        <w:t xml:space="preserve">Zitiervorschlag: § 43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