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FFG 2025 — Stundung, Niederschlagung und Erlass von Ansprüchen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die Stundung, die Niederschlagung und den Erlass von Ansprüchen der Filmförderungsanstalt gilt, soweit in diesem Gesetz nichts Abweichendes geregelt ist, § 59 Absatz 1 der Bundeshaushaltsordnung entsprechend. § 59 Absatz 2 der Bundeshaushaltsordnung findet keine Anwendung.</w:t>
      </w:r>
    </w:p>
    <w:p>
      <w:r>
        <w:t xml:space="preserve">(2) Die Niederschlagung und der Erlass von Ansprüchen bedürfen der Zustimmung des Verwaltungsrats. Abweichend von Satz 1 kann in der Satzung geregelt werden, dass der Vorstand Ansprüche von nicht erheblicher finanzieller Bedeutung niederschlagen kann.</w:t>
      </w:r>
    </w:p>
    <w:p>
      <w:r>
        <w:rPr>
          <w:color w:val="555555"/>
          <w:sz w:val="17"/>
        </w:rPr>
        <w:t xml:space="preserve">Zitiervorschlag: § 36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