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FFG 2025 — Haushalts- und Wirtschaftsführung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Wirtschaftsplan ist nach den Grundsätzen der Sparsamkeit und Wirtschaftlichkeit auszuführen.</w:t>
      </w:r>
    </w:p>
    <w:p>
      <w:r>
        <w:t xml:space="preserve">(2) Im Wirtschaftsplan nicht veranschlagte Ausgaben bedürfen der Zustimmung des Verwaltungsrats. Die Zustimmung darf nur dann erteilt werden, wenn</w:t>
      </w:r>
    </w:p>
    <w:p>
      <w:pPr>
        <w:ind w:left="420"/>
      </w:pPr>
      <w:r>
        <w:t xml:space="preserve">1. die Filmförderungsanstalt zu den Ausgaben unmittelbar kraft Gesetzes verpflichtet ist oder die Ausgaben der Erfüllung der gesetzlichen Aufgaben der Filmförderungsanstalt dienen und</w:t>
      </w:r>
    </w:p>
    <w:p>
      <w:pPr>
        <w:ind w:left="420"/>
      </w:pPr>
      <w:r>
        <w:t xml:space="preserve">2. für die Ausgaben ein unvorhergesehenes und unabweisbares Bedürfnis vorliegt.</w:t>
      </w:r>
    </w:p>
    <w:p>
      <w:r>
        <w:rPr>
          <w:color w:val="555555"/>
          <w:sz w:val="17"/>
        </w:rPr>
        <w:t xml:space="preserve">Zitiervorschlag: § 34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