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FFG 2025 — Satzung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Die Satzung der Filmförderungsanstalt regelt, soweit dieses Gesetz keine Bestimmung trifft und die haushaltsrechtlichen Vorschriften des Bundes nicht entgegenstehen, das Nähere insbesondere über</w:t>
      </w:r>
    </w:p>
    <w:p>
      <w:pPr>
        <w:ind w:left="420"/>
      </w:pPr>
      <w:r>
        <w:t xml:space="preserve">1. die Aufstellung und Ausführung des Wirtschaftsplans,</w:t>
      </w:r>
    </w:p>
    <w:p>
      <w:pPr>
        <w:ind w:left="420"/>
      </w:pPr>
      <w:r>
        <w:t xml:space="preserve">2. das Rechnungswesen,</w:t>
      </w:r>
    </w:p>
    <w:p>
      <w:pPr>
        <w:ind w:left="420"/>
      </w:pPr>
      <w:r>
        <w:t xml:space="preserve">3. die Rechnungslegung,</w:t>
      </w:r>
    </w:p>
    <w:p>
      <w:pPr>
        <w:ind w:left="420"/>
      </w:pPr>
      <w:r>
        <w:t xml:space="preserve">4. die Prüfung der Rechnung der Filmförderungsanstalt,</w:t>
      </w:r>
    </w:p>
    <w:p>
      <w:pPr>
        <w:ind w:left="420"/>
      </w:pPr>
      <w:r>
        <w:t xml:space="preserve">5. das Verfahren zur Wahl der Mitglieder des Präsidiums nach § 15 Absatz 1 Nummer 4 und 5,</w:t>
      </w:r>
    </w:p>
    <w:p>
      <w:pPr>
        <w:ind w:left="420"/>
      </w:pPr>
      <w:r>
        <w:t xml:space="preserve">6. die Ausgestaltung und das Verfahren zur Einsetzung der Förderkommissionen nach § 13,</w:t>
      </w:r>
    </w:p>
    <w:p>
      <w:pPr>
        <w:ind w:left="420"/>
      </w:pPr>
      <w:r>
        <w:t xml:space="preserve">7. die Zuständigkeiten innerhalb der Filmförderungsanstalt bei Widersprüchen gegen die Entscheidungen der Organe und Förderkommissionen und</w:t>
      </w:r>
    </w:p>
    <w:p>
      <w:pPr>
        <w:ind w:left="420"/>
      </w:pPr>
      <w:r>
        <w:t xml:space="preserve">8. die Ausgestaltung des Compliance-Management-Systems nach § 38 Absatz 2 und die Umsetzung der entsprechenden Anforderungen.</w:t>
      </w:r>
    </w:p>
    <w:p>
      <w:r>
        <w:t xml:space="preserve">(2) Der Verwaltungsrat beschließt die Satzung und deren Änderungen mit einer Mehrheit von zwei Dritteln der Stimmen, mindestens aber mit der Mehrheit seiner Mitglieder.</w:t>
      </w:r>
    </w:p>
    <w:p>
      <w:r>
        <w:t xml:space="preserve">(3) Die Satzung und deren Änderungen bedürfen der Genehmigung durch die für Kultur und Medien zuständige oberste Bundesbehörde.</w:t>
      </w:r>
    </w:p>
    <w:p>
      <w:r>
        <w:rPr>
          <w:color w:val="555555"/>
          <w:sz w:val="17"/>
        </w:rPr>
        <w:t xml:space="preserve">Zitiervorschlag: § 32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