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FFG 2025 — Entscheidungen zu Sperrfristen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Vorstand entscheidet über Anträge zu Sperrfristen nach den §§ 55 bis 58.</w:t>
      </w:r>
    </w:p>
    <w:p>
      <w:r>
        <w:t xml:space="preserve">(2) Der Vorstand soll bei grundsätzlichen Fragen zur Anwendung der Sperrfristenregelungen vor seiner Entscheidung den Verwaltungsrat befassen.</w:t>
      </w:r>
    </w:p>
    <w:p>
      <w:r>
        <w:rPr>
          <w:color w:val="555555"/>
          <w:sz w:val="17"/>
        </w:rPr>
        <w:t xml:space="preserve">Zitiervorschlag: § 24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