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FFG 2025 — Übermittlung und Veröffentlichung von Daten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Auf Anforderung hat die Filmförderungsanstalt der für Kultur und Medien zuständigen obersten Bundesbehörde Daten, die für die Förderung oder die Erhebung der Filmabgabe erforderlich sind, zu übermitteln. Daten im Sinne des Satzes 1 sind</w:t>
      </w:r>
    </w:p>
    <w:p>
      <w:pPr>
        <w:ind w:left="420"/>
      </w:pPr>
      <w:r>
        <w:t xml:space="preserve">1. die in § 144 aufgeführten Informationen sowie</w:t>
      </w:r>
    </w:p>
    <w:p>
      <w:pPr>
        <w:ind w:left="420"/>
      </w:pPr>
      <w:r>
        <w:t xml:space="preserve">2. die nachfolgenden Informationen:</w:t>
      </w:r>
    </w:p>
    <w:p>
      <w:pPr>
        <w:ind w:left="780"/>
      </w:pPr>
      <w:r>
        <w:t xml:space="preserve">a) der Name der antragstellenden natürlichen oder juristischen Person, der Name der geförderten natürlichen oder juristischen Person oder der Name der zur Filmabgabe verpflichteten natürlichen oder juristischen Person,</w:t>
      </w:r>
    </w:p>
    <w:p>
      <w:pPr>
        <w:ind w:left="780"/>
      </w:pPr>
      <w:r>
        <w:t xml:space="preserve">b) die Art der geförderten Maßnahme,</w:t>
      </w:r>
    </w:p>
    <w:p>
      <w:pPr>
        <w:ind w:left="780"/>
      </w:pPr>
      <w:r>
        <w:t xml:space="preserve">c) das Datum des Förderbescheids,</w:t>
      </w:r>
    </w:p>
    <w:p>
      <w:pPr>
        <w:ind w:left="780"/>
      </w:pPr>
      <w:r>
        <w:t xml:space="preserve">d) der Titel des geförderten Treatments, Drehbuchs oder Filmvorhabens,</w:t>
      </w:r>
    </w:p>
    <w:p>
      <w:pPr>
        <w:ind w:left="780"/>
      </w:pPr>
      <w:r>
        <w:t xml:space="preserve">e) die Höhe der Herstellungskosten des geförderten Filmvorhabens oder die Höhe der Kosten der geförderten Maßnahme,</w:t>
      </w:r>
    </w:p>
    <w:p>
      <w:pPr>
        <w:ind w:left="780"/>
      </w:pPr>
      <w:r>
        <w:t xml:space="preserve">f) die Höhe des nach diesem Gesetz gewährten Förderbetrags sowie der insgesamt für das jeweilige Vorhaben oder die jeweilige Maßnahme erhaltenen staatlichen Fördermittel,</w:t>
      </w:r>
    </w:p>
    <w:p>
      <w:pPr>
        <w:ind w:left="780"/>
      </w:pPr>
      <w:r>
        <w:t xml:space="preserve">g) der prozentuale Anteil staatlicher Beihilfen an den beihilfefähigen Gesamtkosten einer geförderten Maßnahme vor Abzug von Steuern und sonstigen Abgaben,</w:t>
      </w:r>
    </w:p>
    <w:p>
      <w:pPr>
        <w:ind w:left="780"/>
      </w:pPr>
      <w:r>
        <w:t xml:space="preserve">h) die Höhe der vorrangig zurückzuzahlenden Finanzierungsbestandteile,</w:t>
      </w:r>
    </w:p>
    <w:p>
      <w:pPr>
        <w:ind w:left="780"/>
      </w:pPr>
      <w:r>
        <w:t xml:space="preserve">i) die Höhe der Erlöse, die nach Maßgabe dieses Gesetzes zur Tilgung des Darlehens herangezogen werden, und</w:t>
      </w:r>
    </w:p>
    <w:p>
      <w:pPr>
        <w:ind w:left="780"/>
      </w:pPr>
      <w:r>
        <w:t xml:space="preserve">j) die Höhe der seitens einer natürlichen oder juristischen Person zu leistenden Filmabgabe.</w:t>
      </w:r>
    </w:p>
    <w:p>
      <w:r>
        <w:t xml:space="preserve">(2) Die Filmförderungsanstalt veröffentlicht den Namen sowie die in Absatz 1 Satz 2 Nummer 2 Buchstabe b bis i aufgeführten Daten geförderter natürlicher oder juristischer Personen in ihrem Geschäfts- und Förderbericht. Darüber hinaus darf die Filmförderungsanstalt Angaben über die Besucherzahlen von Filmen im In- und Ausland projektbezogen oder kumuliert in ihrem Geschäfts- und Förderbericht veröffentlichen.</w:t>
      </w:r>
    </w:p>
    <w:p>
      <w:r>
        <w:t xml:space="preserve">(3) Die Filmförderungsanstalt ist berechtigt, die nach § 144 Absatz 3 Satz 2 erhobenen Daten an die zentrale Dienstleistungsorganisation der deutschen Filmwirtschaft für die Außenvertretung des deutschen Films zu übermitteln.</w:t>
      </w:r>
    </w:p>
    <w:p>
      <w:r>
        <w:t xml:space="preserve">(4) Die Filmförderungsanstalt ist berechtigt, der Europäischen Kommission alle zur Prüfung der beihilferechtlichen Zulässigkeit der gewährten Förderhilfen notwendigen Daten zu übermitteln.</w:t>
      </w:r>
    </w:p>
    <w:p>
      <w:r>
        <w:rPr>
          <w:color w:val="555555"/>
          <w:sz w:val="17"/>
        </w:rPr>
        <w:t xml:space="preserve">Zitiervorschlag: § 148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