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FFG 2025 — Ermächtigung des Verwaltungsrats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Soweit dieses Gesetz keine Bestimmung trifft, obliegt die Entscheidung über die Verteilung der Mittel auf die einzelnen Förderarten dem Verwaltungsrat. Der Verwaltungsrat kann die Aufteilung innerhalb der nach § 138 Absatz 2 für die vorgesehenen Förderzwecke zur Verfügung stehenden Mittel weiter konkretisieren.</w:t>
      </w:r>
    </w:p>
    <w:p>
      <w:r>
        <w:t xml:space="preserve">(2) Im Rahmen der insgesamt zur Verfügung stehenden Mittel kann der Verwaltungsrat bei der Beschlussfassung über den Wirtschaftsplan die Prozentsätze des § 138 Absatz 2 um einen Abweichungsspielraum von bis zu 25 Prozent über- oder unterschreiten. Jede Abweichung ist im Rahmen des Abweichungsspielraums nach Satz 1 der für andere Förderbereiche nach § 138 Absatz 2 angesetzten Mittel auszugleichen.</w:t>
      </w:r>
    </w:p>
    <w:p>
      <w:r>
        <w:rPr>
          <w:color w:val="555555"/>
          <w:sz w:val="17"/>
        </w:rPr>
        <w:t xml:space="preserve">Zitiervorschlag: § 140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