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139 FFG 2025 — Verwendung der Filmabgabe der Fernsehveranstalter und Programmvermarkter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Einnahmen der Filmförderungsanstalt aus der Filmabgabe der Fernsehveranstalter und Programmvermarkter nach den §§ 132 bis 135 sind nach anteiligem Abzug der Verwaltungskosten und der Aufwendungen nach § 138 Absatz 1 für die Produktionsförderung zu verwenden. Für den Fall, dass diese Mittel die nach Maßgabe des § 138 Absatz 2 Satz 1 Nummer 1 und 2 für die Produktionsförderung zur Verfügung stehenden Mittel übersteigen, sind diese Einnahmen abweichend von § 138 Absatz 2 Satz 1 dennoch in voller Höhe für die Produktionsförderung zu verwenden. Der Anteil der für die anderen Förderarten zu verwendenden Einnahmen reduziert sich entsprechend.</w:t>
      </w:r>
    </w:p>
    <w:p>
      <w:r>
        <w:t xml:space="preserve">(2) Absatz 1 gilt für zusätzliche Leistungen nach § 137, soweit nicht der Fernsehveranstalter oder der Programmvermarkter einen anderen Verwendungszweck bestimmt hat.</w:t>
      </w:r>
    </w:p>
    <w:p>
      <w:r>
        <w:rPr>
          <w:color w:val="555555"/>
          <w:sz w:val="17"/>
        </w:rPr>
        <w:t xml:space="preserve">Zitiervorschlag: § 139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