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137 FFG 2025 — Zusätzliche Leistungen der Fernsehveranstalter und Programmvermarkter</w:t>
      </w:r>
    </w:p>
    <w:p>
      <w:r>
        <w:rPr>
          <w:color w:val="555555"/>
          <w:sz w:val="18"/>
        </w:rPr>
        <w:t xml:space="preserve">Filmförderungsgesetz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Über die sich aus den §§ 132 bis 135 ergebenden Beträge hinausgehende Zahlungen oder sonstige Leistungen der Fernsehveranstalter und Programmvermarkter werden in Verträgen mit der Filmförderungsanstalt vereinbart.</w:t>
      </w:r>
    </w:p>
    <w:p>
      <w:r>
        <w:rPr>
          <w:color w:val="555555"/>
          <w:sz w:val="17"/>
        </w:rPr>
        <w:t xml:space="preserve">Zitiervorschlag: § 137 FFG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https://recht.nulegal.eu/gesetze/FFG%202025/137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