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FFG 2025 — Medialeistungen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Fernsehveranstalter und Videoabrufdienste können bis zu 15 Prozent ihrer Abgaben nach den §§ 130, 132 bis 134 Absatz 1 und 2 in Form von Werbezeiten für Kinofilme (Medialeistungen) erbringen. Hierbei muss der Wert der Medialeistungen nach dem Bruttolistenpreis den Wert der ersetzten Barleistungen um die Hälfte überschreiten.</w:t>
      </w:r>
    </w:p>
    <w:p>
      <w:r>
        <w:t xml:space="preserve">(2) Die Filmförderungsanstalt vergibt die Medialeistungen nach Absatz 1. Näheres regelt eine Richtlinie gemäß § 11.</w:t>
      </w:r>
    </w:p>
    <w:p>
      <w:r>
        <w:rPr>
          <w:color w:val="555555"/>
          <w:sz w:val="17"/>
        </w:rPr>
        <w:t xml:space="preserve">Zitiervorschlag: § 136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