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FFG 2025 — Förderkommissionen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Verwaltungsrat kann für Entscheidungen über Förderhilfen nach § 3 Absatz 2 Förderkommissionen einsetzen, wenn dem eine Mehrheit von zwei Dritteln seiner Mitglieder zustimmt. Wenn Förderkommissionen für die Umsetzung von zwei- oder mehrseitigen zwischenstaatlichen Abkommen der Bundesrepublik Deutschland über die Gemeinschaftsproduktion von Filmen eingesetzt werden sollen, sind etwaige Vorgaben zur Besetzung der Kommissionen einzuhalten. In Fällen von Satz 2 hat die Einsetzung der Kommissionen und ihre Besetzung im Einvernehmen mit der für Kultur und Medien zuständigen obersten Bundesbehörde zu erfolgen.</w:t>
      </w:r>
    </w:p>
    <w:p>
      <w:r>
        <w:t xml:space="preserve">(2) In den Fällen des Absatzes 1 delegiert der Verwaltungsrat seine Entscheidungskompetenz nach § 10 Absatz 2 auf die entsprechende Förderkommission.</w:t>
      </w:r>
    </w:p>
    <w:p>
      <w:r>
        <w:t xml:space="preserve">(3) Die Filmförderungsanstalt kann für Entscheidungen nach § 136 Absatz 2 Satz 1 eine Förderkommission einsetzen. In diesem Fall delegiert die Filmförderungsanstalt ihre Entscheidungskompetenz auf die entsprechende Förderkommission.</w:t>
      </w:r>
    </w:p>
    <w:p>
      <w:r>
        <w:t xml:space="preserve">(4) Die Amtszeit der Mitglieder der Förderkommissionen endet jeweils spätestens mit Ablauf des 31. Dezember 2029.</w:t>
      </w:r>
    </w:p>
    <w:p>
      <w:r>
        <w:t xml:space="preserve">(5) Sollen im Rahmen der Förderung nach § 3 Absatz 2 Förderhilfen für die Herstellung von Filmen vergeben werden, stellt der Verwaltungsrat durch Richtlinie nach § 11 sicher, dass die geförderten Filme den Allgemeinen Bestimmungen in Teil 3 Kapitel 1 entsprechen.</w:t>
      </w:r>
    </w:p>
    <w:p>
      <w:r>
        <w:rPr>
          <w:color w:val="555555"/>
          <w:sz w:val="17"/>
        </w:rPr>
        <w:t xml:space="preserve">Zitiervorschlag: § 13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