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FFG 2025 — Filmabgabe der Videoprogrammanbieter</w:t>
      </w:r>
    </w:p>
    <w:p>
      <w:r>
        <w:rPr>
          <w:color w:val="555555"/>
          <w:sz w:val="18"/>
        </w:rPr>
        <w:t xml:space="preserve">Filmförderungsgesetz</w:t>
      </w:r>
    </w:p>
    <w:p>
      <w:r>
        <w:rPr>
          <w:color w:val="555555"/>
          <w:sz w:val="18"/>
        </w:rPr>
        <w:t xml:space="preserve">Stand: 01.01.2025 (konsolidierte Textfassung, kein amtliches Inkrafttretensdatum)</w:t>
      </w:r>
    </w:p>
    <w:p>
      <w:r>
        <w:t xml:space="preserve">(1) Wer als Inhaber der Lizenzrechte Bildträger, die mit Filmen mit einer Laufzeit von mehr als 58 Minuten bespielt sind, in der Bundesrepublik Deutschland zur Vermietung oder zum Weiterverkauf in den Verkehr bringt oder unmittelbar an Letztverbrauchende verkauft (Videoprogrammanbieter), hat vom Nettoumsatz mit abgabepflichtigen Bildträgern eine Filmabgabe zu entrichten. Dies gilt nur für Videoprogrammanbieter, deren Nettoumsatz mit abgabepflichtigen Bildträgern 500 000 Euro im Jahr übersteigt und bei denen ein Anteil von mindestens 2 Prozent dieses Nettoumsatzes auf Kinofilme entfällt.</w:t>
      </w:r>
    </w:p>
    <w:p>
      <w:r>
        <w:t xml:space="preserve">(2) Die Filmabgabe beträgt</w:t>
      </w:r>
    </w:p>
    <w:p>
      <w:pPr>
        <w:ind w:left="420"/>
      </w:pPr>
      <w:r>
        <w:t xml:space="preserve">1. bei einem Jahresumsatz von bis zu 20 Millionen Euro 1,8 Prozent und</w:t>
      </w:r>
    </w:p>
    <w:p>
      <w:pPr>
        <w:ind w:left="420"/>
      </w:pPr>
      <w:r>
        <w:t xml:space="preserve">2. bei einem Jahresumsatz von über 20 Millionen Euro 2,5 Prozent.</w:t>
      </w:r>
    </w:p>
    <w:p>
      <w:r>
        <w:t xml:space="preserve">(3)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129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