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 FFG 2025 — Begriffsbestimmungen Nettoumsatz und Nettowerbeumsatz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Nettoumsatz im Sinne der §§ 128 bis 130 und 134 und 135 ist die Summe der jeweils abgaberelevanten Umsatzerlöse abzüglich etwaiger Erlösschmälerungen und abzüglich der Umsatzsteuer.</w:t>
      </w:r>
    </w:p>
    <w:p>
      <w:r>
        <w:t xml:space="preserve">(2) Nettowerbeumsatz im Sinne des § 133 ist die Summe der Werbeumsatzerlöse abzüglich etwaiger Erlösschmälerungen und abzüglich der Umsatzsteuer.</w:t>
      </w:r>
    </w:p>
    <w:p>
      <w:r>
        <w:t xml:space="preserve">(3) Erlösschmälerungen nach den Absätzen 1 und 2 umfassen ausschließlich etwaige Rabatte, Skonti oder Boni.</w:t>
      </w:r>
    </w:p>
    <w:p>
      <w:r>
        <w:rPr>
          <w:color w:val="555555"/>
          <w:sz w:val="17"/>
        </w:rPr>
        <w:t xml:space="preserve">Zitiervorschlag: § 127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