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FFG 2025 — Auszahlung, Aufhebung von Förderbescheiden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Filmförderungsanstalt zahlt die Förderhilfen bedarfsgerecht an den Kinobetreiber aus.</w:t>
      </w:r>
    </w:p>
    <w:p>
      <w:r>
        <w:t xml:space="preserve">(2) Die Filmförderungsanstalt hat die Auszahlung der Förderhilfen nach § 114 Absatz 1 zu versagen, wenn die antragstellende Person zum jeweils maßgeblichen Auszahlungszeitpunkt nicht das Vorliegen sämtlicher Antrags- und Fördervoraussetzungen nachweist. Die Auszahlung ist insbesondere zu versagen, wenn die ordnungsgemäße Finanzierung der Maßnahme nicht gesichert ist.</w:t>
      </w:r>
    </w:p>
    <w:p>
      <w:r>
        <w:t xml:space="preserve">(3) Der Bescheid über die zuerkannten Förderhilfen ist ganz oder teilweise auch mit Wirkung für die Vergangenheit aufzuheben, wenn</w:t>
      </w:r>
    </w:p>
    <w:p>
      <w:pPr>
        <w:ind w:left="420"/>
      </w:pPr>
      <w:r>
        <w:t xml:space="preserve">1. die antragstellende Person den Nachweis der zweckentsprechenden Verwendung der Förderhilfe nicht erbracht hat,</w:t>
      </w:r>
    </w:p>
    <w:p>
      <w:pPr>
        <w:ind w:left="420"/>
      </w:pPr>
      <w:r>
        <w:t xml:space="preserve">2. die Auszahlung der Förderhilfe aufgrund unrichtiger Angaben über wesentliche Voraussetzungen erfolgt ist oder</w:t>
      </w:r>
    </w:p>
    <w:p>
      <w:pPr>
        <w:ind w:left="420"/>
      </w:pPr>
      <w:r>
        <w:t xml:space="preserve">3. Auszahlungshindernisse nach Absatz 2 nachträglich eingetreten oder bekannt geworden sind.</w:t>
      </w:r>
    </w:p>
    <w:p>
      <w:r>
        <w:t xml:space="preserve">(4) Im Falle einer Aufhebung nach Absatz 3 sind bereits ausgezahlte Fördermittel zurückzufordern. Die zurückgeforderten Leistungen sind durch Verwaltungsakt festzusetzen. Wird in Fällen des Absatzes 3 Nummer 3 die nach § 47 zulässige Beihilfehöchstintensität überschritten und die Maßnahme sowohl von der Filmförderungsanstalt als auch von anderen mit öffentlichen Mitteln finanzierten Fördereinrichtungen gefördert, erfolgt die Rückzahlung entsprechend dem Verhältnis der einzelnen Förderbeträge.</w:t>
      </w:r>
    </w:p>
    <w:p>
      <w:r>
        <w:rPr>
          <w:color w:val="555555"/>
          <w:sz w:val="17"/>
        </w:rPr>
        <w:t xml:space="preserve">Zitiervorschlag: § 120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