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FFG 2025 — Ausschüsse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Verwaltungsrat kann Ausschüsse bilden, wenn dem eine Mehrheit von zwei Dritteln seiner Mitglieder zustimmt.</w:t>
      </w:r>
    </w:p>
    <w:p>
      <w:r>
        <w:t xml:space="preserve">(2) Die Ausschüsse bereiten die Beschlüsse des Verwaltungsrats im jeweiligen Aufgabenbereich vor. Sie berichten dem Verwaltungsrat regelmäßig.</w:t>
      </w:r>
    </w:p>
    <w:p>
      <w:r>
        <w:t xml:space="preserve">(3) Näheres regelt der Verwaltungsrat in seiner Geschäftsordnung nach § 9 Absatz 5.</w:t>
      </w:r>
    </w:p>
    <w:p>
      <w:r>
        <w:rPr>
          <w:color w:val="555555"/>
          <w:sz w:val="17"/>
        </w:rPr>
        <w:t xml:space="preserve">Zitiervorschlag: § 12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