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115 FFG 2025 — Antragsberechtigung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Antragsberechtigt ist, wer im Inland ein Kino betreibt.</w:t>
      </w:r>
    </w:p>
    <w:p>
      <w:r>
        <w:t xml:space="preserve">(2) Für Förderhilfen nach § 114 Absatz 1 Nummer 2 ist auch antragsberechtigt, wer beabsichtigt, im Inland ein Kino zu betreiben. Dies gilt nicht, wenn Anhaltspunkte dafür vorliegen, dass der ordnungsgemäße Betrieb eines Kinos nicht gewährleistet wird.</w:t>
      </w:r>
    </w:p>
    <w:p>
      <w:r>
        <w:t xml:space="preserve">(3) Nicht antragsberechtigt ist, wer die gesetzliche Verpflichtung zur Zahlung einer im Zeitpunkt der Antragstellung fälligen Abgabe nach § 128 nicht ordnungsgemäß erfüllt hat.</w:t>
      </w:r>
    </w:p>
    <w:p>
      <w:r>
        <w:rPr>
          <w:color w:val="555555"/>
          <w:sz w:val="17"/>
        </w:rPr>
        <w:t xml:space="preserve">Zitiervorschlag: § 115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