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FFG 2025 — Richtlinien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Verwaltungsrat kann Regelungen durch Richtlinien nach Maßgabe dieses Gesetzes treffen. Dies betrifft insbesondere</w:t>
      </w:r>
    </w:p>
    <w:p>
      <w:pPr>
        <w:ind w:left="420"/>
      </w:pPr>
      <w:r>
        <w:t xml:space="preserve">1. Anforderungen an die Anträge nach diesem Gesetz und die ihnen beizufügenden Unterlagen,</w:t>
      </w:r>
    </w:p>
    <w:p>
      <w:pPr>
        <w:ind w:left="420"/>
      </w:pPr>
      <w:r>
        <w:t xml:space="preserve">2. Antragsfristen,</w:t>
      </w:r>
    </w:p>
    <w:p>
      <w:pPr>
        <w:ind w:left="420"/>
      </w:pPr>
      <w:r>
        <w:t xml:space="preserve">3. Voraussetzungen für die Auszahlung und Rückzahlung von Förderhilfen,</w:t>
      </w:r>
    </w:p>
    <w:p>
      <w:pPr>
        <w:ind w:left="420"/>
      </w:pPr>
      <w:r>
        <w:t xml:space="preserve">4. Anforderungen an Zeitpunkt, Art und Form der Verwendungsnachweise,</w:t>
      </w:r>
    </w:p>
    <w:p>
      <w:pPr>
        <w:ind w:left="420"/>
      </w:pPr>
      <w:r>
        <w:t xml:space="preserve">5. Anforderungen an die jeweils in der Förderung anerkennungsfähigen Kosten und die Tilgungsbestimmungen sowie</w:t>
      </w:r>
    </w:p>
    <w:p>
      <w:pPr>
        <w:ind w:left="420"/>
      </w:pPr>
      <w:r>
        <w:t xml:space="preserve">6. zusätzliche Fördervoraussetzungen, die der Erfüllung der Aufgaben nach § 2 und der damit verbundenen Ziele dienen.</w:t>
      </w:r>
    </w:p>
    <w:p>
      <w:r>
        <w:t xml:space="preserve">Dabei ist sicherzustellen, dass den Grundsätzen sparsamer Wirtschaftsführung Rechnung getragen wird.</w:t>
      </w:r>
    </w:p>
    <w:p>
      <w:r>
        <w:t xml:space="preserve">(2) Der Verwaltungsrat beschließt Richtlinien nach diesem Gesetz mit einer Mehrheit von zwei Dritteln der Stimmen, mindestens aber mit der Mehrheit seiner Mitglieder.</w:t>
      </w:r>
    </w:p>
    <w:p>
      <w:r>
        <w:t xml:space="preserve">(3) Die Richtlinien und deren Änderungen bedürfen der Genehmigung durch die für Kultur und Medien zuständige oberste Bundesbehörde.</w:t>
      </w:r>
    </w:p>
    <w:p>
      <w:r>
        <w:rPr>
          <w:color w:val="555555"/>
          <w:sz w:val="17"/>
        </w:rPr>
        <w:t xml:space="preserve">Zitiervorschlag: § 11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