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FFG 2025 — Antragsfrist</w:t>
      </w:r>
    </w:p>
    <w:p>
      <w:r>
        <w:rPr>
          <w:color w:val="555555"/>
          <w:sz w:val="18"/>
        </w:rPr>
        <w:t xml:space="preserve">Filmförderungsgesetz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Der Antrag ist spätestens drei Monate nach Verstreichen der Zeiträume nach § 62 und § 64 Absatz 4 zu stellen. Nach Ablauf des 1. März gestellte Anträge werden bei der Zuerkennung nach § 109 für das jeweilige Kalenderjahr nicht mehr berücksichtigt. Die Frist nach Satz 2 ist eine Ausschlussfrist.</w:t>
      </w:r>
    </w:p>
    <w:p>
      <w:r>
        <w:rPr>
          <w:color w:val="555555"/>
          <w:sz w:val="17"/>
        </w:rPr>
        <w:t xml:space="preserve">Zitiervorschlag: § 108 FFG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https://recht.nulegal.eu/gesetze/FFG%202025/108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