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FFG 2025 — Antragsberechtigung, Antragsvoraussetzungen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Antragsberechtigt sind regelmäßig tätige Verleiher.</w:t>
      </w:r>
    </w:p>
    <w:p>
      <w:r>
        <w:t xml:space="preserve">(2) Mit Antragstellung ist nachzuweisen, dass der Referenzfilm die jeweils geltenden Voraussetzungen der §§ 41 bis 45 erfüllt.</w:t>
      </w:r>
    </w:p>
    <w:p>
      <w:r>
        <w:t xml:space="preserve">(3) Näheres regelt eine Richtlinie gemäß § 11.</w:t>
      </w:r>
    </w:p>
    <w:p>
      <w:r>
        <w:rPr>
          <w:color w:val="555555"/>
          <w:sz w:val="17"/>
        </w:rPr>
        <w:t xml:space="preserve">Zitiervorschlag: § 107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