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10 FFG 2025 — Aufgaben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Der Verwaltungsrat beschließt über alle grundsätzlichen Fragen, die zum Aufgabenbereich der Filmförderungsanstalt gehören, verabschiedet den Haushalt der Filmförderungsanstalt und beschließt Richtlinien nach diesem Gesetz sowie die Satzung der Filmförderungsanstalt.</w:t>
      </w:r>
    </w:p>
    <w:p>
      <w:r>
        <w:t xml:space="preserve">(2) Der Verwaltungsrat entscheidet auf Vorschlag des Vorstands über Förderhilfen gemäß § 3 Absatz 2, soweit nicht der Vorstand nach § 23 Absatz 1 Satz 1 hierfür zuständig ist.</w:t>
      </w:r>
    </w:p>
    <w:p>
      <w:r>
        <w:t xml:space="preserve">(3) Der Verwaltungsrat beschließt in den ersten sechs Monaten jedes Wirtschaftsjahres über die Entlastung des Vorstands und des Präsidiums. § 109 Absatz 3 der Bundeshaushaltsordnung findet keine Anwendung. Die Mitglieder des Präsidiums sind bei der Abstimmung über die Entlastung des Präsidiums nicht stimmberechtigt. Die Entlastung enthält keinen Verzicht auf Ersatzansprüche.</w:t>
      </w:r>
    </w:p>
    <w:p>
      <w:r>
        <w:rPr>
          <w:color w:val="555555"/>
          <w:sz w:val="17"/>
        </w:rPr>
        <w:t xml:space="preserve">Zitiervorschlag: § 10 FFG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https://recht.nulegal.eu/gesetze/FFG%202025/10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