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FFG 2017 — Auszahlung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Für die Auszahlung der Förderhilfen gilt § 88 Absatz 1 entsprechend.</w:t>
      </w:r>
    </w:p>
    <w:p>
      <w:r>
        <w:t xml:space="preserve">(2) Die Filmförderungsanstalt hat die Auszahlung der Förderhilfen zu versagen, wenn die antragstellende Person zum jeweiligen Auszahlungszeitpunkt nicht das Vorliegen sämtlicher Antrags- und Fördervoraussetzungen sowie die Einhaltung der nach § 95 Absatz 2 erteilten Auflagen nachweist. Die Auszahlung ist insbesondere zu versagen, wenn die ordnungsgemäße Finanzierung des Filmvorhabens nicht gewährleistet ist.</w:t>
      </w:r>
    </w:p>
    <w:p>
      <w:r>
        <w:rPr>
          <w:color w:val="555555"/>
          <w:sz w:val="17"/>
        </w:rPr>
        <w:t xml:space="preserve">Zitiervorschlag: § 97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