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FFG 2017 — Verwendung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Hersteller hat die Förderhilfe bis spätestens zum Ablauf von zwei Jahren nach dem Erlass des Zuerkennungsbescheids in vollem Umfang zur Herstellung neuer Kurzfilme oder neuer programmfüllender Filme im Sinne der §§ 41 bis 48 zu verwenden.</w:t>
      </w:r>
    </w:p>
    <w:p>
      <w:r>
        <w:t xml:space="preserve">(2) Der Vorstand kann auf Antrag gestatten, dass Förderhilfen für Maßnahmen der Stoffbeschaffung, der Drehbuchbeschaffung oder -entwicklung oder in sonstiger Weise für die Vorbereitung eines neuen Films im Sinne des Absatzes 1 verwendet werden.</w:t>
      </w:r>
    </w:p>
    <w:p>
      <w:r>
        <w:t xml:space="preserve">(3) Werden die Förderhilfen für die Herstellung neuer Filme nach § 84 verwendet, können sie auch für bereits begonnene Maßnahmen verwendet werden. Dies gilt nicht, wenn die Maßnahme vor dem Antrag auf Zuerkennung nach § 82 Absatz 2 begonnen wurde. Eine Verwendung der Förderhilfen für bereits abgeschlossene Maßnahmen ist nicht möglich.</w:t>
      </w:r>
    </w:p>
    <w:p>
      <w:r>
        <w:rPr>
          <w:color w:val="555555"/>
          <w:sz w:val="17"/>
        </w:rPr>
        <w:t xml:space="preserve">Zitiervorschlag: § 96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