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FFG 2017 — Referenzförderung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Referenzförderung wird dem Hersteller eines Kurzfilms sowie eines nicht programmfüllenden Kinderfilms gewährt, wenn der Film nach Maßgabe des Absatzes 2 mindestens 15 Referenzpunkte erreicht. Bei Filmen mit mindestens 40 Referenzpunkten werden die Referenzpunkte mit dem Faktor 1,5 multipliziert.</w:t>
      </w:r>
    </w:p>
    <w:p>
      <w:r>
        <w:t xml:space="preserve">(2) Die Referenzpunkte werden aus dem Erfolg bei international und national bedeutsamen Festivals und Preisen ermittelt. Für die Auszeichnung mit dem Prädikat „besonders wertvoll“ der Deutschen Film- und Medienbewertung erhält ein Film zehn Referenzpunkte.</w:t>
      </w:r>
    </w:p>
    <w:p>
      <w:r>
        <w:rPr>
          <w:color w:val="555555"/>
          <w:sz w:val="17"/>
        </w:rPr>
        <w:t xml:space="preserve">Zitiervorschlag: § 91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