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FFG 2017 — Verteilung der Referenzpunkte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für die Referenzfilmförderung zur Verfügung stehenden Mittel werden auf die berechtigten Hersteller nach dem Verhältnis verteilt, in dem die Referenzpunkte der einzelnen Filme zueinander stehen.</w:t>
      </w:r>
    </w:p>
    <w:p>
      <w:r>
        <w:t xml:space="preserve">(2) Erreicht ein Film in einem Kalenderjahr weniger als 10 000 Referenzpunkte, werden diese nur dann berücksichtigt, wenn sie zusammen mit noch nicht berücksichtigten Referenzpunkten aus anderen Kalenderjahren mindestens 10 000 Referenzpunkte ergeben.</w:t>
      </w:r>
    </w:p>
    <w:p>
      <w:r>
        <w:rPr>
          <w:color w:val="555555"/>
          <w:sz w:val="17"/>
        </w:rPr>
        <w:t xml:space="preserve">Zitiervorschlag: § 80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