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FFG 2017 — Erfolge bei Festivals und Preise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Berücksichtigung des Erfolgs bei Festivals und Preisen setzt voraus, dass der Dokumentar-, Kinder- oder Erstlingsfilm oder Film mit niedrigen Herstellungskosten im Inland eine Besucherzahl von mindestens 25 000 erreicht hat.</w:t>
      </w:r>
    </w:p>
    <w:p>
      <w:r>
        <w:t xml:space="preserve">(2) Der Verwaltungsrat kann durch Richtlinie bestimmen, welche weiteren Festivalteilnahmen auf international und überregional bedeutsamen Festivals ergänzend zu den nach § 75 Absatz 2 festgelegten Erfolgen zu berücksichtigen sind. Dabei ist der Festivalpraxis bei Kinder- und Dokumentarfilmen ausreichend Rechnung zu tragen.</w:t>
      </w:r>
    </w:p>
    <w:p>
      <w:r>
        <w:rPr>
          <w:color w:val="555555"/>
          <w:sz w:val="17"/>
        </w:rPr>
        <w:t xml:space="preserve">Zitiervorschlag: § 78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