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77 FFG 2017 — Zuschauererfolg</w:t>
      </w:r>
    </w:p>
    <w:p>
      <w:r>
        <w:rPr>
          <w:color w:val="555555"/>
          <w:sz w:val="18"/>
        </w:rPr>
        <w:t xml:space="preserve">Filmförderungsgesetz</w:t>
      </w:r>
    </w:p>
    <w:p>
      <w:r>
        <w:rPr>
          <w:color w:val="555555"/>
          <w:sz w:val="18"/>
        </w:rPr>
        <w:t xml:space="preserve">Historische Fassung: Stand 10.06.2019 bis 01.01.2025. Dies ist nicht die aktuelle Fassung.</w:t>
      </w:r>
    </w:p>
    <w:p>
      <w:r>
        <w:t xml:space="preserve">(1) Bei Erstlingsfilmen und Filmen mit niedrigen Herstellungskosten entspricht die Referenzpunktzahl aus dem Zuschauererfolg der Besucherzahl im Zeitraum eines Jahres nach der Erstaufführung in einem Kino im Inland gegen Entgelt. Es sind nur solche Besucherinnen und Besucher zu berücksichtigen, die den marktüblichen Eintrittspreis bezahlt haben. Besucherinnen und Besucher von Veranstaltungen, bei denen die Eintrittskarte für die Filmaufführung nur gemeinsam mit einer Eintrittskarte für eine andere Veranstaltung erworben werden kann, werden nur dann berücksichtigt, wenn die Filmaufführung den Schwerpunkt der Aufführung darstellt.</w:t>
      </w:r>
    </w:p>
    <w:p>
      <w:r>
        <w:t xml:space="preserve">(2) Bei Dokumentar- und Kinderfilmen entspricht die Referenzpunktzahl für den Zuschauererfolg im Inland der Besucherzahl im Zeitraum der ersten drei Jahre nach Erstaufführung in einem Kino im Inland. Außer im Fall einer Festpreisvermietung für die Vorführung in nichtgewerblichen Abspielstätten sind nur solche Besucherinnen und Besucher zu berücksichtigen, die den marktüblichen Eintrittspreis bezahlt haben. Im Fall einer Festpreisvermietung für die Vorführung in nichtgewerblichen Abspielstätten werden Besucherinnen und Besucher mit der Maßgabe berücksichtigt, dass die Besucherzahl zwei Dritteln der Bruttoverleiheinnahmen in Euro entspricht. Besucherinnen und Besucher von Veranstaltungen, bei denen die Eintrittskarte für die Filmaufführung nur gemeinsam mit einer Eintrittskarte für eine andere Veranstaltung erworben werden kann, werden nur dann berücksichtigt, wenn die Filmaufführung den Schwerpunkt der Aufführung darstellt.</w:t>
      </w:r>
    </w:p>
    <w:p>
      <w:r>
        <w:t xml:space="preserve">(3) Sofern ein Dokumentarfilm, ein Kinderfilm, ein Erstlingsfilm oder ein Film mit niedrigen Herstellungskosten die jeweilige nach § 76 für die Teilnahme an der Referenzfilmförderung maßgebliche Referenzpunktzahl überschreitet, aber insgesamt weniger als 150 000 Referenzpunkte erreicht, wird er mit 150 000 Referenzpunkten gewertet.</w:t>
      </w:r>
    </w:p>
    <w:p>
      <w:r>
        <w:t xml:space="preserve">(4) Übersteigt der aus dem Verkauf von Eintrittskarten im Kino im Inland erreichte Nettoumsatz die anerkannten Herstellungskosten, erhöhen sich die nach Maßgabe dieses Gesetzes erreichten Referenzpunkte um 25 Prozent.</w:t>
      </w:r>
    </w:p>
    <w:p>
      <w:r>
        <w:rPr>
          <w:color w:val="555555"/>
          <w:sz w:val="17"/>
        </w:rPr>
        <w:t xml:space="preserve">Zitiervorschlag: § 77 FFG 2017</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https://recht.nulegal.eu/gesetze/FFG%202017/77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