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FFG 2017 — Zuschauererfolg</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Die Referenzpunktzahl aus dem Zuschauererfolg entspricht bei programmfüllenden Filmen der Besucherzahl im Zeitraum eines Jahres nach der Erstaufführung in einem Kino im Inland gegen Entgelt. Es sind nur solche Besucherinnen und Besucher zu berücksichtigen, die den marktüblichen Eintrittspreis bezahlt haben. Besucherinnen und Besucher von Veranstaltungen, bei denen die Eintrittskarte für die Filmaufführung nur gemeinsam mit einer Eintrittskarte für eine andere Veranstaltung erworben werden kann, werden nur dann berücksichtigt, wenn die Filmaufführung den Schwerpunkt der Aufführung darstellt.</w:t>
      </w:r>
    </w:p>
    <w:p>
      <w:r>
        <w:t xml:space="preserve">(2) Übersteigt der aus dem Verkauf von Eintrittskarten im Kino im Inland erreichte Nettoumsatz bei einem programmfüllenden Film die anerkannten Herstellungskosten, erhöhen sich die nach Maßgabe dieses Gesetzes erreichten Referenzpunkte um 25 Prozent.</w:t>
      </w:r>
    </w:p>
    <w:p>
      <w:r>
        <w:rPr>
          <w:color w:val="555555"/>
          <w:sz w:val="17"/>
        </w:rPr>
        <w:t xml:space="preserve">Zitiervorschlag: § 74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