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FFG 2017 — Bürgschaften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Auf Antrag des Herstellers im Sinne des § 41 Absatz 1 Nummer 1 kann der Vorstand Bürgschaften zur Besicherung der vertraglich vereinbarten Rückzahlungsverpflichtung des Herstellers wegen Nichtfertigstellung des Films gegenüber einem Fernsehveranstalter übernehmen.</w:t>
      </w:r>
    </w:p>
    <w:p>
      <w:r>
        <w:t xml:space="preserve">(2) Die Bürgschaftsübernahme setzt voraus, dass eine Beteiligungsvereinbarung zwischen dem Hersteller und dem Fernsehveranstalter nachgewiesen wird.</w:t>
      </w:r>
    </w:p>
    <w:p>
      <w:r>
        <w:t xml:space="preserve">(3) Eine Bürgschaft darf nicht übernommen werden, wenn Anhaltspunkte dafür vorliegen, dass ein überdurchschnittlich hohes Risiko für die Inanspruchnahme der Filmförderungsanstalt aus der Bürgschaft gegeben wäre.</w:t>
      </w:r>
    </w:p>
    <w:p>
      <w:r>
        <w:t xml:space="preserve">(4) Die Rückstellungen für die Bürgschaften sind im Wirtschaftsplan der Filmförderungsanstalt einzuplanen.</w:t>
      </w:r>
    </w:p>
    <w:p>
      <w:r>
        <w:t xml:space="preserve">(5) Die Einzelheiten der Rückerstattungspflicht des Herstellers an die Filmförderungsanstalt regelt der Verwaltungsrat durch Richtlinie.</w:t>
      </w:r>
    </w:p>
    <w:p>
      <w:r>
        <w:rPr>
          <w:color w:val="555555"/>
          <w:sz w:val="17"/>
        </w:rPr>
        <w:t xml:space="preserve">Zitiervorschlag: § 65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