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FFG 2017 — Einbeziehung von Gemeinschaftsproduktionen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Filmvorhaben, die als Gemeinschaftsproduktion mit Herstellern verwirklicht werden sollen, die ihren Wohnsitz oder Sitz in einem Staat haben, mit dem ein zwischenstaatliches Abkommen im Sinne des § 42 Absatz 1 Nummer 2 besteht oder die ihren Sitz in einem Staat haben, mit dessen für die Filmförderung zuständigen Stellen eine Kooperationsvereinbarung im Sinne des § 3 Absatz 4 besteht, können bei Verbürgung der Gegenseitigkeit im Rahmen der hierfür zur Verfügung stehenden Mittel gesondert eine Förderhilfe erhalten.</w:t>
      </w:r>
    </w:p>
    <w:p>
      <w:r>
        <w:t xml:space="preserve">(2) Förderhilfen nach Absatz 1 können zusätzlich zu anderen Förderhilfen nach diesem Gesetz gewährt und auch für Maßnahmen der Projektentwicklung verwendet werden.</w:t>
      </w:r>
    </w:p>
    <w:p>
      <w:r>
        <w:t xml:space="preserve">(3) Förderhilfen nach Absatz 1 können auch als Zuschuss gewährt werden.</w:t>
      </w:r>
    </w:p>
    <w:p>
      <w:r>
        <w:rPr>
          <w:color w:val="555555"/>
          <w:sz w:val="17"/>
        </w:rPr>
        <w:t xml:space="preserve">Zitiervorschlag: § 62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