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59a FFG 2017 — Ökologisch nachhaltige Herstellung von Filmen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Förderhilfen gemäß § 59 werden nur gewährt, wenn bei der Herstellung des Films wirksame Maßnahmen zur Förderung der ökologischen Nachhaltigkeit getroffen werden.</w:t>
      </w:r>
    </w:p>
    <w:p>
      <w:r>
        <w:t xml:space="preserve">(2) Die Einzelheiten hierzu regelt eine Richtlinie des Verwaltungsrats unter zwingender Berücksichtigung von § 2 Satz 1 Nummer 8.</w:t>
      </w:r>
    </w:p>
    <w:p>
      <w:r>
        <w:rPr>
          <w:color w:val="555555"/>
          <w:sz w:val="17"/>
        </w:rPr>
        <w:t xml:space="preserve">Zitiervorschlag: § 59a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