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FFG 2017 — Verletzung der Sperrfristen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Werden die Sperrfristen verletzt, so hat die Filmförderungsanstalt den Förderbescheid ganz oder teilweise zu widerrufen.</w:t>
      </w:r>
    </w:p>
    <w:p>
      <w:r>
        <w:t xml:space="preserve">(2) Ein Film, bei dessen Auswertung die Sperrfristen verletzt wurden, ist von der Referenzfilmförderung nach den §§ 73 und 76 ausgeschlossen, wenn sich hieraus nicht aus den Gesamtumständen eine für den Hersteller unzumutbare Härte ergibt. Wurden bereits Referenzmittel zuerkannt oder ausgezahlt, ist der entsprechende Förderbescheid zu widerrufen.</w:t>
      </w:r>
    </w:p>
    <w:p>
      <w:r>
        <w:t xml:space="preserve">(3) Bereits ausgezahlte Fördermittel sind zurückzufordern.</w:t>
      </w:r>
    </w:p>
    <w:p>
      <w:r>
        <w:rPr>
          <w:color w:val="555555"/>
          <w:sz w:val="17"/>
        </w:rPr>
        <w:t xml:space="preserve">Zitiervorschlag: § 57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