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55a FFG 2017 — Abweichende Regelungen über die Sperrfristen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Von den Regelungen der §§ 53 bis 55 kann durch Richtlinie des Verwaltungsrats abgewichen werden.</w:t>
      </w:r>
    </w:p>
    <w:p>
      <w:r>
        <w:t xml:space="preserve">(2) Für Entscheidungen über Sperrfristenverkürzungen gilt im Fall abweichender Regelungen nach Absatz 1 § 19 entsprechend.</w:t>
      </w:r>
    </w:p>
    <w:p>
      <w:r>
        <w:rPr>
          <w:color w:val="555555"/>
          <w:sz w:val="17"/>
        </w:rPr>
        <w:t xml:space="preserve">Zitiervorschlag: § 55a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https://recht.nulegal.eu/gesetze/FFG%202017/55a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