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FFG 2017 — Regelmäßige Sperrfristen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Wer Projektfilm-, Referenzfilm-, Kurzfilm- oder Absatzfördermittel nach diesem Gesetz in Anspruch nimmt, darf den mit diesen Mitteln hergestellten oder ausgewerteten Film oder Teile desselben zum Schutz der einzelnen Verwertungsstufen vor Ablauf der in Absatz 2 genannten Sperrfristen weder durch Bildträger im Inland oder in deutscher Sprachfassung im Ausland noch im Fernsehen oder in sonstiger Weise auswerten oder auswerten lassen. Satz 1 gilt nur für programmfüllende Filme.</w:t>
      </w:r>
    </w:p>
    <w:p>
      <w:r>
        <w:t xml:space="preserve">(2) Die regelmäßigen Sperrfristen enden jeweils</w:t>
      </w:r>
    </w:p>
    <w:p>
      <w:pPr>
        <w:ind w:left="420"/>
      </w:pPr>
      <w:r>
        <w:t xml:space="preserve">1. für die Bildträgerauswertung und die Auswertung durch entgeltliche Videoabrufdienste und durch Bezahlfernsehen gegen individuelles Entgelt sechs Monate nach Beginn der regulären Erstaufführung;</w:t>
      </w:r>
    </w:p>
    <w:p>
      <w:pPr>
        <w:ind w:left="420"/>
      </w:pPr>
      <w:r>
        <w:t xml:space="preserve">2. für die Auswertung durch Bezahlfernsehen gegen pauschales Entgelt zwölf Monate nach Beginn der regulären Erstaufführung;</w:t>
      </w:r>
    </w:p>
    <w:p>
      <w:pPr>
        <w:ind w:left="420"/>
      </w:pPr>
      <w:r>
        <w:t xml:space="preserve">3. für die Auswertung durch frei empfangbares Fernsehen und durch unentgeltliche Videoabrufdienste 18 Monate nach Beginn der regulären Erstaufführung.</w:t>
      </w:r>
    </w:p>
    <w:p>
      <w:r>
        <w:t xml:space="preserve">(3) Eine geringfügige ausschnittsweise Nutzung, insbesondere zu Werbezwecken, stellt keine Sperrfristverletzung dar.</w:t>
      </w:r>
    </w:p>
    <w:p>
      <w:r>
        <w:rPr>
          <w:color w:val="555555"/>
          <w:sz w:val="17"/>
        </w:rPr>
        <w:t xml:space="preserve">Zitiervorschlag: § 53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