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FFG 2017 — Barrierefreie Fassung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Förderhilfen für die Herstellung und die Digitalisierung von Filmen dürfen nur gewährt werden, wenn bis zur Erstaufführung in einem Kino wenigstens eine Endfassung des Films als barrierefreie Fassung hergestellt wird. Förderhilfen für Kinos und den Absatz von Filmen dürfen nur gewährt werden, wenn barrierefreie Fassungen in geeigneter Weise und in angemessenem Maße zugänglich gemacht werden.</w:t>
      </w:r>
    </w:p>
    <w:p>
      <w:r>
        <w:t xml:space="preserve">(2) Der Vorstand kann Ausnahmen von den in Absatz 1 genannten Voraussetzungen zulassen, wenn die Gesamtwürdigung des Vorhabens dies rechtfertigt.</w:t>
      </w:r>
    </w:p>
    <w:p>
      <w:r>
        <w:rPr>
          <w:color w:val="555555"/>
          <w:sz w:val="17"/>
        </w:rPr>
        <w:t xml:space="preserve">Zitiervorschlag: § 47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