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FFG 2017 — Aufsicht</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Filmförderungsanstalt untersteht der Rechtsaufsicht der für Kultur und Medien zuständigen obersten Bundesbehörde. Die Aufsichtsbehörde ist befugt, Anordnungen zu treffen, um den Geschäftsbetrieb der Filmförderungsanstalt mit dem geltenden Recht in Einklang zu halten.</w:t>
      </w:r>
    </w:p>
    <w:p>
      <w:r>
        <w:t xml:space="preserve">(2) Die Filmförderungsanstalt ist verpflichtet, der Aufsichtsbehörde jederzeit Auskunft über ihre Tätigkeit zu erteilen.</w:t>
      </w:r>
    </w:p>
    <w:p>
      <w:r>
        <w:t xml:space="preserve">(3) Kommt die Filmförderungsanstalt ihren Verpflichtungen nicht nach, so ist die Aufsichtsbehörde befugt, die Aufgaben durch einen besonderen Beauftragten durchführen zu lassen oder sie selbst durchzuführen.</w:t>
      </w:r>
    </w:p>
    <w:p>
      <w:r>
        <w:rPr>
          <w:color w:val="555555"/>
          <w:sz w:val="17"/>
        </w:rPr>
        <w:t xml:space="preserve">Zitiervorschlag: § 38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