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FFG 2017 — Stundung, Niederschlagung und Erlass von Ansprüchen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Für die Stundung, die Niederschlagung und den Erlass von Ansprüchen der Filmförderungsanstalt gilt, soweit in diesem Gesetz nichts Abweichendes geregelt ist, § 59 Absatz 1 der Bundeshaushaltsordnung entsprechend. § 59 Absatz 2 der Bundeshaushaltsordnung findet keine Anwendung.</w:t>
      </w:r>
    </w:p>
    <w:p>
      <w:r>
        <w:t xml:space="preserve">(2) Die Niederschlagung und der Erlass von Ansprüchen bedürfen der Zustimmung des Verwaltungsrats. Abweichend von Satz 1 kann der Vorstand die Zahlungsverpflichtung eines Schuldners bis zur Höhe von jährlich 250 Euro niederschlagen.</w:t>
      </w:r>
    </w:p>
    <w:p>
      <w:r>
        <w:rPr>
          <w:color w:val="555555"/>
          <w:sz w:val="17"/>
        </w:rPr>
        <w:t xml:space="preserve">Zitiervorschlag: § 36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